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8C" w:rsidRPr="00430BC7" w:rsidRDefault="0014178C" w:rsidP="00AB3E8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PT Astra Serif" w:hAnsi="PT Astra Serif" w:cs="Arial"/>
          <w:color w:val="262626"/>
          <w:sz w:val="28"/>
          <w:szCs w:val="28"/>
        </w:rPr>
      </w:pP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Доклад</w:t>
      </w:r>
    </w:p>
    <w:p w:rsidR="0014178C" w:rsidRPr="00430BC7" w:rsidRDefault="0014178C" w:rsidP="00AB3E8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PT Astra Serif" w:hAnsi="PT Astra Serif" w:cs="Arial"/>
          <w:color w:val="262626"/>
          <w:sz w:val="28"/>
          <w:szCs w:val="28"/>
        </w:rPr>
      </w:pPr>
      <w:r w:rsidRPr="00430BC7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в </w:t>
      </w:r>
      <w:r w:rsidRPr="007312EB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Администрации Вавиловского сельского поселени</w:t>
      </w:r>
      <w:r w:rsidR="00AB3E8D"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 xml:space="preserve">я </w:t>
      </w:r>
      <w:r>
        <w:rPr>
          <w:rStyle w:val="a4"/>
          <w:rFonts w:ascii="PT Astra Serif" w:hAnsi="PT Astra Serif" w:cs="Arial"/>
          <w:b w:val="0"/>
          <w:color w:val="262626"/>
          <w:sz w:val="28"/>
          <w:szCs w:val="28"/>
        </w:rPr>
        <w:t>за 2023 год</w:t>
      </w:r>
    </w:p>
    <w:p w:rsidR="0014178C" w:rsidRPr="009A3389" w:rsidRDefault="0014178C" w:rsidP="00AB3E8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>1. Общие положения:</w:t>
      </w:r>
    </w:p>
    <w:p w:rsidR="00DB0501" w:rsidRPr="00DB0501" w:rsidRDefault="00DB0501" w:rsidP="00AB3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05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Администрацией Вавиловского сельского поселения - разработано Постановление от 28.04.2019 №43 «Об организации в Администрации Вавиловского сельского поселения системы внутреннего обеспечения соответствия требованиям антимонопольного законодательства» устанавливает порядок организации и функционирования в Администрации Вавиловского сельского поселения системы внутреннего обеспечения соответствия требованиям антимонопольного законодательства;</w:t>
      </w:r>
    </w:p>
    <w:p w:rsidR="00DB0501" w:rsidRPr="00DB0501" w:rsidRDefault="00DB0501" w:rsidP="00AB3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05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Постановлением от 03.02.2022 №19 «О внесении изменений и дополнений в постановление № 43 от 28.04.2021года «Об организации в Администрации Вавиловского сельского поселения системы внутреннего обеспечения соответствия требованиям антимонопольного законодательства» внесены изменения в Положение;</w:t>
      </w:r>
    </w:p>
    <w:p w:rsidR="00DB0501" w:rsidRPr="00DB0501" w:rsidRDefault="00DB0501" w:rsidP="00AB3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05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Постановление от 0</w:t>
      </w:r>
      <w:r w:rsidRPr="009A338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Pr="00DB05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.0</w:t>
      </w:r>
      <w:r w:rsidRPr="009A338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Pr="00DB05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.202</w:t>
      </w:r>
      <w:r w:rsidRPr="009A338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Pr="00DB05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№2</w:t>
      </w:r>
      <w:r w:rsidRPr="009A338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</w:t>
      </w:r>
      <w:r w:rsidRPr="00DB05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«Об утверждении карты рисков нарушения антимонопольного законодательства, плана мероприятий («дорожная карта») по снижению рисков нарушения антимонопольного законодательства на 202</w:t>
      </w:r>
      <w:r w:rsidRPr="009A338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Pr="00DB05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 и ключевых показателей оценки эффективности функционирования антимонопольного комплаенса в Администрации Вавиловского сельского поселения».</w:t>
      </w:r>
    </w:p>
    <w:p w:rsidR="00DB0501" w:rsidRPr="00DB0501" w:rsidRDefault="00DB0501" w:rsidP="00AB3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05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Документы размещены на сайте Вавиловского сельского поселения https://vavilovka.ru/category/antimonopolnyj-komplaens/</w:t>
      </w:r>
    </w:p>
    <w:p w:rsidR="00DB0501" w:rsidRPr="00DB0501" w:rsidRDefault="00DB0501" w:rsidP="00AB3E8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B050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Ответственным за внедрение и функционирование системы внутреннего обеспечения соответствия требованиям антимонопольного законодательства в Администрации Вавиловского сельского поселения определен ведущий специалист по связям с общественностью</w:t>
      </w:r>
    </w:p>
    <w:p w:rsidR="0014178C" w:rsidRPr="009A3389" w:rsidRDefault="0014178C" w:rsidP="00AB3E8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>Информация о проведенных мероприятиях по реализации антимонопольного комплаенса:</w:t>
      </w:r>
    </w:p>
    <w:p w:rsidR="009918CB" w:rsidRPr="000C47A3" w:rsidRDefault="0014178C" w:rsidP="009A338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 xml:space="preserve">2.1. </w:t>
      </w:r>
      <w:r w:rsidR="009918CB" w:rsidRPr="009A3389">
        <w:rPr>
          <w:color w:val="000000"/>
          <w:sz w:val="26"/>
          <w:szCs w:val="26"/>
        </w:rPr>
        <w:t xml:space="preserve">Анализ выявленных нарушений антимонопольного законодательства (далее - </w:t>
      </w:r>
      <w:r w:rsidR="009918CB" w:rsidRPr="000C47A3">
        <w:rPr>
          <w:color w:val="000000"/>
          <w:sz w:val="26"/>
          <w:szCs w:val="26"/>
        </w:rPr>
        <w:t xml:space="preserve">АМЗ) в деятельности </w:t>
      </w:r>
      <w:r w:rsidR="009A3389" w:rsidRPr="000C47A3">
        <w:rPr>
          <w:color w:val="000000"/>
          <w:sz w:val="26"/>
          <w:szCs w:val="26"/>
        </w:rPr>
        <w:t xml:space="preserve">Администрации </w:t>
      </w:r>
      <w:r w:rsidR="009918CB" w:rsidRPr="000C47A3">
        <w:rPr>
          <w:color w:val="000000"/>
          <w:sz w:val="26"/>
          <w:szCs w:val="26"/>
        </w:rPr>
        <w:t>Вавиловское сельское поселение»:</w:t>
      </w:r>
    </w:p>
    <w:p w:rsidR="009918CB" w:rsidRPr="009A3389" w:rsidRDefault="009918CB" w:rsidP="009A338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C47A3">
        <w:rPr>
          <w:color w:val="000000"/>
          <w:sz w:val="26"/>
          <w:szCs w:val="26"/>
        </w:rPr>
        <w:t>За 202</w:t>
      </w:r>
      <w:r w:rsidR="00AB3E8D" w:rsidRPr="000C47A3">
        <w:rPr>
          <w:color w:val="000000"/>
          <w:sz w:val="26"/>
          <w:szCs w:val="26"/>
        </w:rPr>
        <w:t>3</w:t>
      </w:r>
      <w:r w:rsidRPr="000C47A3">
        <w:rPr>
          <w:color w:val="000000"/>
          <w:sz w:val="26"/>
          <w:szCs w:val="26"/>
        </w:rPr>
        <w:t xml:space="preserve"> год предостережений, предупреждений, штрафов, жалоб, возбужденных дел в МО «Вавиловское сельское поселение» не было.</w:t>
      </w:r>
    </w:p>
    <w:p w:rsidR="0014178C" w:rsidRPr="009A3389" w:rsidRDefault="0014178C" w:rsidP="009A338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 xml:space="preserve">2.2. Анализ действующих нормативных правовых актов, разработчиком которых является МО </w:t>
      </w:r>
      <w:r w:rsidR="009918CB" w:rsidRPr="009A3389">
        <w:rPr>
          <w:rFonts w:ascii="PT Astra Serif" w:hAnsi="PT Astra Serif"/>
          <w:sz w:val="26"/>
          <w:szCs w:val="26"/>
        </w:rPr>
        <w:t>«Вавиловское сельское поселение»</w:t>
      </w:r>
      <w:r w:rsidRPr="009A3389">
        <w:rPr>
          <w:rFonts w:ascii="PT Astra Serif" w:hAnsi="PT Astra Serif"/>
          <w:sz w:val="26"/>
          <w:szCs w:val="26"/>
        </w:rPr>
        <w:t>, на предмет их соответствия АМЗ:</w:t>
      </w:r>
    </w:p>
    <w:p w:rsidR="009918CB" w:rsidRPr="009A3389" w:rsidRDefault="009918CB" w:rsidP="009A3389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>Постановление Администрации Вавиловского сельского поселения от 16.01.2023 №11 «Об утверждеии муниципальной программы «Развитие и поддержка субъектов малого и средненго предринимательства в МО «Вавиловское сельское поселение на 2023-2025 годы».</w:t>
      </w:r>
    </w:p>
    <w:p w:rsidR="009918CB" w:rsidRPr="009A3389" w:rsidRDefault="009918CB" w:rsidP="009A3389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>Постановление Администрации Вавиловского сельского поселения от 25.01.2023 №12 «О стоимости услуг, предоставляемых согласно гарантированному перечню услуг по погребению».</w:t>
      </w:r>
    </w:p>
    <w:p w:rsidR="009918CB" w:rsidRPr="009A3389" w:rsidRDefault="009918CB" w:rsidP="009A3389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>Постановление Администрации Вавиловского сельского поселения от 15.05.2023 №36 «Об утверждении Порядка предостваления субсидий ресурсоснабжающим организациям на частичное возмещение убытков, не включенных в тариф, возникающих при оказании услуг теплоснабжения и (или) водоснабжения на территории МО «Вавиловское сельское поселение».</w:t>
      </w:r>
    </w:p>
    <w:p w:rsidR="009918CB" w:rsidRPr="009A3389" w:rsidRDefault="009918CB" w:rsidP="009A3389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>Постановление Администрации Вавиловского сельского поселения от 22.01.2018 №46 «О присвоении статуса теплоснабжающей организации на территории муниципального образования «Вавиловское сельское поселение» Бакчарского района Томской области»</w:t>
      </w:r>
    </w:p>
    <w:p w:rsidR="009F4C30" w:rsidRPr="009A3389" w:rsidRDefault="009F4C30" w:rsidP="00AB3E8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lastRenderedPageBreak/>
        <w:t>По результатам проведения общественных обсуждений по перечню нормативно правовых актов на соответствие их антимонопольному законодательству предложения и замечания о нарушении антимонопольного законодательства не поступали.</w:t>
      </w:r>
      <w:r w:rsidRPr="009A3389">
        <w:rPr>
          <w:rFonts w:ascii="PT Astra Serif" w:hAnsi="PT Astra Serif"/>
          <w:sz w:val="26"/>
          <w:szCs w:val="26"/>
        </w:rPr>
        <w:t xml:space="preserve"> </w:t>
      </w:r>
    </w:p>
    <w:p w:rsidR="0014178C" w:rsidRPr="009A3389" w:rsidRDefault="0014178C" w:rsidP="00AB3E8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 xml:space="preserve">2.3. Анализ проектов нормативных правовых актов, разработанных </w:t>
      </w:r>
      <w:r w:rsidR="009F727B" w:rsidRPr="009A3389">
        <w:rPr>
          <w:rFonts w:ascii="PT Astra Serif" w:hAnsi="PT Astra Serif"/>
          <w:sz w:val="26"/>
          <w:szCs w:val="26"/>
        </w:rPr>
        <w:t>МО «Вавиловское сельское поселение» на предмет их соответствия АМЗ в 202</w:t>
      </w:r>
      <w:r w:rsidR="009F727B" w:rsidRPr="009A3389">
        <w:rPr>
          <w:rFonts w:ascii="PT Astra Serif" w:hAnsi="PT Astra Serif"/>
          <w:sz w:val="26"/>
          <w:szCs w:val="26"/>
        </w:rPr>
        <w:t>3</w:t>
      </w:r>
      <w:r w:rsidR="009F727B" w:rsidRPr="009A3389">
        <w:rPr>
          <w:rFonts w:ascii="PT Astra Serif" w:hAnsi="PT Astra Serif"/>
          <w:sz w:val="26"/>
          <w:szCs w:val="26"/>
        </w:rPr>
        <w:t xml:space="preserve"> году не проводился</w:t>
      </w:r>
      <w:r w:rsidRPr="009A3389">
        <w:rPr>
          <w:rFonts w:ascii="PT Astra Serif" w:hAnsi="PT Astra Serif"/>
          <w:sz w:val="26"/>
          <w:szCs w:val="26"/>
        </w:rPr>
        <w:t>.</w:t>
      </w:r>
    </w:p>
    <w:p w:rsidR="0014178C" w:rsidRPr="009A3389" w:rsidRDefault="0014178C" w:rsidP="00AB3E8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 xml:space="preserve">2.4. Проведение оценки выполнения плана мероприятий («дорожной карты») по снижению рисков нарушения АМЗ в МО </w:t>
      </w:r>
      <w:r w:rsidR="009F4C30" w:rsidRPr="009A3389">
        <w:rPr>
          <w:rFonts w:ascii="PT Astra Serif" w:hAnsi="PT Astra Serif"/>
          <w:sz w:val="26"/>
          <w:szCs w:val="26"/>
        </w:rPr>
        <w:t>Вавиловское сельское поселение</w:t>
      </w:r>
      <w:r w:rsidRPr="009A3389">
        <w:rPr>
          <w:rFonts w:ascii="PT Astra Serif" w:hAnsi="PT Astra Serif"/>
          <w:sz w:val="26"/>
          <w:szCs w:val="26"/>
        </w:rPr>
        <w:t>:</w:t>
      </w:r>
    </w:p>
    <w:p w:rsidR="009F4C30" w:rsidRPr="009F4C30" w:rsidRDefault="009F4C30" w:rsidP="00AB3E8D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 xml:space="preserve">- </w:t>
      </w:r>
      <w:r w:rsidRPr="009F4C30">
        <w:rPr>
          <w:rFonts w:ascii="PT Astra Serif" w:hAnsi="PT Astra Serif"/>
          <w:sz w:val="26"/>
          <w:szCs w:val="26"/>
        </w:rPr>
        <w:t>Специалист</w:t>
      </w:r>
      <w:r w:rsidRPr="009A3389">
        <w:rPr>
          <w:rFonts w:ascii="PT Astra Serif" w:hAnsi="PT Astra Serif"/>
          <w:sz w:val="26"/>
          <w:szCs w:val="26"/>
        </w:rPr>
        <w:t>а</w:t>
      </w:r>
      <w:r w:rsidRPr="009F4C30">
        <w:rPr>
          <w:rFonts w:ascii="PT Astra Serif" w:hAnsi="PT Astra Serif"/>
          <w:sz w:val="26"/>
          <w:szCs w:val="26"/>
        </w:rPr>
        <w:t>м</w:t>
      </w:r>
      <w:r w:rsidRPr="009A3389">
        <w:rPr>
          <w:rFonts w:ascii="PT Astra Serif" w:hAnsi="PT Astra Serif"/>
          <w:sz w:val="26"/>
          <w:szCs w:val="26"/>
        </w:rPr>
        <w:t>и</w:t>
      </w:r>
      <w:r w:rsidRPr="009F4C30">
        <w:rPr>
          <w:rFonts w:ascii="PT Astra Serif" w:hAnsi="PT Astra Serif"/>
          <w:sz w:val="26"/>
          <w:szCs w:val="26"/>
        </w:rPr>
        <w:t xml:space="preserve"> на постоянной основе проводится мониторинг изменений в федеральный закон «О контрактной системе в сфере закупок товаров, работ, услуг для обеспечения государственных и муниципальных нужд» от 05.04.2013 № 44-ФЗ.</w:t>
      </w:r>
    </w:p>
    <w:p w:rsidR="009F4C30" w:rsidRPr="009F4C30" w:rsidRDefault="009F4C30" w:rsidP="00AB3E8D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>-</w:t>
      </w:r>
      <w:r w:rsidRPr="009F4C30">
        <w:rPr>
          <w:rFonts w:ascii="PT Astra Serif" w:hAnsi="PT Astra Serif"/>
          <w:sz w:val="26"/>
          <w:szCs w:val="26"/>
        </w:rPr>
        <w:t xml:space="preserve"> Проведен анализ действующих нормативных правовых актов на предмет соответствия антимонопольному законодательству.</w:t>
      </w:r>
    </w:p>
    <w:p w:rsidR="009F4C30" w:rsidRPr="009F4C30" w:rsidRDefault="009F4C30" w:rsidP="00AB3E8D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>-</w:t>
      </w:r>
      <w:r w:rsidRPr="009F4C30">
        <w:rPr>
          <w:rFonts w:ascii="PT Astra Serif" w:hAnsi="PT Astra Serif"/>
          <w:sz w:val="26"/>
          <w:szCs w:val="26"/>
        </w:rPr>
        <w:t xml:space="preserve"> Проводили ознакомление, обучения, инструктажи служащих (работников) с антимонопольным комплаенсом с вновь поступившими на службу.</w:t>
      </w:r>
    </w:p>
    <w:p w:rsidR="0014178C" w:rsidRPr="009A3389" w:rsidRDefault="0014178C" w:rsidP="00AB3E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>2.5. Информация о проведении ознакомления, обучения, инструктажа служащих (работников) с антимонопольным комплаенсом.</w:t>
      </w:r>
    </w:p>
    <w:p w:rsidR="009F4C30" w:rsidRPr="009A3389" w:rsidRDefault="009F4C30" w:rsidP="00AB3E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>Проводили</w:t>
      </w:r>
      <w:r w:rsidRPr="009A3389">
        <w:rPr>
          <w:rFonts w:ascii="PT Astra Serif" w:hAnsi="PT Astra Serif"/>
          <w:sz w:val="26"/>
          <w:szCs w:val="26"/>
        </w:rPr>
        <w:t>сь</w:t>
      </w:r>
      <w:r w:rsidRPr="009A3389">
        <w:rPr>
          <w:rFonts w:ascii="PT Astra Serif" w:hAnsi="PT Astra Serif"/>
          <w:sz w:val="26"/>
          <w:szCs w:val="26"/>
        </w:rPr>
        <w:t xml:space="preserve"> ознакомлени</w:t>
      </w:r>
      <w:r w:rsidRPr="009A3389">
        <w:rPr>
          <w:rFonts w:ascii="PT Astra Serif" w:hAnsi="PT Astra Serif"/>
          <w:sz w:val="26"/>
          <w:szCs w:val="26"/>
        </w:rPr>
        <w:t>е</w:t>
      </w:r>
      <w:r w:rsidRPr="009A3389">
        <w:rPr>
          <w:rFonts w:ascii="PT Astra Serif" w:hAnsi="PT Astra Serif"/>
          <w:sz w:val="26"/>
          <w:szCs w:val="26"/>
        </w:rPr>
        <w:t>, обучени</w:t>
      </w:r>
      <w:r w:rsidRPr="009A3389">
        <w:rPr>
          <w:rFonts w:ascii="PT Astra Serif" w:hAnsi="PT Astra Serif"/>
          <w:sz w:val="26"/>
          <w:szCs w:val="26"/>
        </w:rPr>
        <w:t>е</w:t>
      </w:r>
      <w:r w:rsidRPr="009A3389">
        <w:rPr>
          <w:rFonts w:ascii="PT Astra Serif" w:hAnsi="PT Astra Serif"/>
          <w:sz w:val="26"/>
          <w:szCs w:val="26"/>
        </w:rPr>
        <w:t>, инструктаж</w:t>
      </w:r>
      <w:r w:rsidRPr="009A3389">
        <w:rPr>
          <w:rFonts w:ascii="PT Astra Serif" w:hAnsi="PT Astra Serif"/>
          <w:sz w:val="26"/>
          <w:szCs w:val="26"/>
        </w:rPr>
        <w:t>и</w:t>
      </w:r>
      <w:r w:rsidRPr="009A3389">
        <w:rPr>
          <w:rFonts w:ascii="PT Astra Serif" w:hAnsi="PT Astra Serif"/>
          <w:sz w:val="26"/>
          <w:szCs w:val="26"/>
        </w:rPr>
        <w:t xml:space="preserve"> служащих (работников) с антимонопольным комплаенсом с вновь поступившими на службу.</w:t>
      </w:r>
    </w:p>
    <w:p w:rsidR="0014178C" w:rsidRPr="009A3389" w:rsidRDefault="0014178C" w:rsidP="00AB3E8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>2.6. Информация об участии ответственных лиц в семинарах, посвященных антимонопольному комплаенсу за отчетный период.</w:t>
      </w:r>
    </w:p>
    <w:p w:rsidR="009F4C30" w:rsidRPr="009A3389" w:rsidRDefault="009F4C30" w:rsidP="00AB3E8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>В 2023 году сотрудники Администрации сельского поселения не принимали участие в семинарах, посвященных антимонопольному комплаенсу в связи с отсутствием информации о проводимых мероприятиях.</w:t>
      </w:r>
    </w:p>
    <w:p w:rsidR="0014178C" w:rsidRPr="009A3389" w:rsidRDefault="0014178C" w:rsidP="00AB3E8D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 xml:space="preserve">3. Оценка эффективности функционирования в МО </w:t>
      </w:r>
      <w:r w:rsidR="00AB3E8D" w:rsidRPr="009A3389">
        <w:rPr>
          <w:rFonts w:ascii="PT Astra Serif" w:hAnsi="PT Astra Serif"/>
          <w:sz w:val="26"/>
          <w:szCs w:val="26"/>
        </w:rPr>
        <w:t xml:space="preserve">Вавиловское сельское поселение </w:t>
      </w:r>
      <w:r w:rsidRPr="009A3389">
        <w:rPr>
          <w:rFonts w:ascii="PT Astra Serif" w:hAnsi="PT Astra Serif"/>
          <w:sz w:val="26"/>
          <w:szCs w:val="26"/>
        </w:rPr>
        <w:t>антимонопольного комплаенса (таблица в приложении № 2).</w:t>
      </w:r>
    </w:p>
    <w:p w:rsidR="0014178C" w:rsidRDefault="0014178C" w:rsidP="00AB3E8D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14178C" w:rsidRPr="00D10B94" w:rsidRDefault="0014178C" w:rsidP="00AB3E8D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  <w:r w:rsidRPr="00D10B94">
        <w:rPr>
          <w:rFonts w:ascii="PT Astra Serif" w:hAnsi="PT Astra Serif"/>
          <w:sz w:val="24"/>
          <w:szCs w:val="24"/>
          <w:lang w:eastAsia="ru-RU"/>
        </w:rPr>
        <w:t>Приложение № 2</w:t>
      </w:r>
    </w:p>
    <w:p w:rsidR="0014178C" w:rsidRPr="00F62F04" w:rsidRDefault="0014178C" w:rsidP="00AB3E8D">
      <w:pPr>
        <w:spacing w:after="0" w:line="240" w:lineRule="auto"/>
        <w:ind w:firstLine="567"/>
        <w:jc w:val="center"/>
        <w:rPr>
          <w:rFonts w:ascii="PT Astra Serif" w:hAnsi="PT Astra Serif"/>
          <w:b/>
          <w:sz w:val="26"/>
          <w:szCs w:val="20"/>
          <w:lang w:eastAsia="ru-RU"/>
        </w:rPr>
      </w:pPr>
      <w:r w:rsidRPr="00F62F04">
        <w:rPr>
          <w:rFonts w:ascii="PT Astra Serif" w:hAnsi="PT Astra Serif"/>
          <w:b/>
          <w:sz w:val="26"/>
          <w:szCs w:val="20"/>
          <w:lang w:eastAsia="ru-RU"/>
        </w:rPr>
        <w:t xml:space="preserve">Оценка эффективности функционирования антимонопольного комплаенса в </w:t>
      </w:r>
      <w:r w:rsidR="00AB3E8D" w:rsidRPr="00AB3E8D">
        <w:rPr>
          <w:rFonts w:ascii="PT Astra Serif" w:hAnsi="PT Astra Serif"/>
          <w:b/>
          <w:sz w:val="26"/>
          <w:szCs w:val="20"/>
          <w:lang w:eastAsia="ru-RU"/>
        </w:rPr>
        <w:t>Администрации Вавиловского сельского поселения</w:t>
      </w:r>
      <w:r w:rsidRPr="00AB3E8D">
        <w:rPr>
          <w:rFonts w:ascii="PT Astra Serif" w:hAnsi="PT Astra Serif"/>
          <w:b/>
          <w:sz w:val="26"/>
          <w:szCs w:val="20"/>
          <w:lang w:eastAsia="ru-RU"/>
        </w:rPr>
        <w:t>.</w:t>
      </w:r>
      <w:r w:rsidRPr="00F62F04">
        <w:rPr>
          <w:rFonts w:ascii="PT Astra Serif" w:hAnsi="PT Astra Serif"/>
          <w:b/>
          <w:sz w:val="26"/>
          <w:szCs w:val="20"/>
          <w:lang w:eastAsia="ru-RU"/>
        </w:rPr>
        <w:t xml:space="preserve"> </w:t>
      </w:r>
    </w:p>
    <w:p w:rsidR="0014178C" w:rsidRPr="00F62F04" w:rsidRDefault="0014178C" w:rsidP="00AB3E8D">
      <w:pPr>
        <w:spacing w:after="0" w:line="240" w:lineRule="auto"/>
        <w:ind w:firstLine="567"/>
        <w:jc w:val="center"/>
        <w:rPr>
          <w:rFonts w:ascii="PT Astra Serif" w:hAnsi="PT Astra Serif"/>
          <w:sz w:val="26"/>
          <w:szCs w:val="20"/>
          <w:lang w:eastAsia="ru-RU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5807"/>
        <w:gridCol w:w="1233"/>
        <w:gridCol w:w="1440"/>
        <w:gridCol w:w="1300"/>
      </w:tblGrid>
      <w:tr w:rsidR="0014178C" w:rsidRPr="00EC0156" w:rsidTr="000C47A3">
        <w:tc>
          <w:tcPr>
            <w:tcW w:w="642" w:type="dxa"/>
            <w:shd w:val="clear" w:color="auto" w:fill="F2F2F2"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807" w:type="dxa"/>
            <w:shd w:val="clear" w:color="auto" w:fill="F2F2F2"/>
            <w:vAlign w:val="center"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Ключевые показатели эффективности</w:t>
            </w:r>
          </w:p>
        </w:tc>
        <w:tc>
          <w:tcPr>
            <w:tcW w:w="1233" w:type="dxa"/>
            <w:shd w:val="clear" w:color="auto" w:fill="F2F2F2"/>
          </w:tcPr>
          <w:p w:rsidR="0014178C" w:rsidRPr="00EC0156" w:rsidRDefault="0014178C" w:rsidP="009A3389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Расчет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14178C" w:rsidRPr="00EC0156" w:rsidRDefault="0014178C" w:rsidP="009A3389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Оценка (балл)</w:t>
            </w:r>
          </w:p>
        </w:tc>
        <w:tc>
          <w:tcPr>
            <w:tcW w:w="1300" w:type="dxa"/>
            <w:shd w:val="clear" w:color="auto" w:fill="F2F2F2"/>
          </w:tcPr>
          <w:p w:rsidR="0014178C" w:rsidRPr="00EC0156" w:rsidRDefault="0014178C" w:rsidP="009A3389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Результат в баллах</w:t>
            </w:r>
          </w:p>
        </w:tc>
      </w:tr>
      <w:tr w:rsidR="0014178C" w:rsidRPr="00EC0156" w:rsidTr="000C47A3">
        <w:trPr>
          <w:trHeight w:val="391"/>
        </w:trPr>
        <w:tc>
          <w:tcPr>
            <w:tcW w:w="642" w:type="dxa"/>
            <w:vMerge w:val="restart"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07" w:type="dxa"/>
            <w:vMerge w:val="restart"/>
          </w:tcPr>
          <w:p w:rsidR="0014178C" w:rsidRPr="00EC0156" w:rsidRDefault="0014178C" w:rsidP="00AB3E8D">
            <w:pPr>
              <w:spacing w:after="0" w:line="240" w:lineRule="auto"/>
              <w:ind w:left="34" w:right="88"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Коэффициент снижения количества нарушений антимонопольного законодательства со стороны муниципального района/городского округа по сравнению с предыдущим годом</w:t>
            </w:r>
            <w:r w:rsidRPr="00EC0156">
              <w:rPr>
                <w:rFonts w:ascii="PT Astra Serif" w:hAnsi="PT Astra Serif"/>
                <w:sz w:val="26"/>
                <w:szCs w:val="2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233" w:type="dxa"/>
            <w:tcBorders>
              <w:bottom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E"/>
            </w: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300" w:type="dxa"/>
            <w:tcBorders>
              <w:bottom w:val="single" w:sz="4" w:space="0" w:color="D9D9D9"/>
            </w:tcBorders>
          </w:tcPr>
          <w:p w:rsidR="0014178C" w:rsidRPr="00EC0156" w:rsidRDefault="00AB3E8D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</w:tr>
      <w:tr w:rsidR="0014178C" w:rsidRPr="00EC0156" w:rsidTr="000C47A3">
        <w:trPr>
          <w:trHeight w:val="390"/>
        </w:trPr>
        <w:tc>
          <w:tcPr>
            <w:tcW w:w="642" w:type="dxa"/>
            <w:vMerge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07" w:type="dxa"/>
            <w:vMerge/>
          </w:tcPr>
          <w:p w:rsidR="0014178C" w:rsidRPr="00EC0156" w:rsidRDefault="0014178C" w:rsidP="00AB3E8D">
            <w:pPr>
              <w:spacing w:after="0" w:line="240" w:lineRule="auto"/>
              <w:ind w:left="34" w:right="88" w:firstLine="567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single" w:sz="4" w:space="0" w:color="D9D9D9"/>
              <w:bottom w:val="single" w:sz="4" w:space="0" w:color="D9D9D9"/>
            </w:tcBorders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14178C" w:rsidRPr="00EC0156" w:rsidTr="000C47A3">
        <w:trPr>
          <w:trHeight w:val="386"/>
        </w:trPr>
        <w:tc>
          <w:tcPr>
            <w:tcW w:w="642" w:type="dxa"/>
            <w:vMerge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07" w:type="dxa"/>
            <w:vMerge/>
          </w:tcPr>
          <w:p w:rsidR="0014178C" w:rsidRPr="00EC0156" w:rsidRDefault="0014178C" w:rsidP="00AB3E8D">
            <w:pPr>
              <w:spacing w:after="0" w:line="240" w:lineRule="auto"/>
              <w:ind w:left="34" w:right="88" w:firstLine="567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D9D9D9"/>
            </w:tcBorders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14178C" w:rsidRPr="00EC0156" w:rsidTr="000C47A3">
        <w:trPr>
          <w:trHeight w:val="575"/>
        </w:trPr>
        <w:tc>
          <w:tcPr>
            <w:tcW w:w="642" w:type="dxa"/>
            <w:vMerge w:val="restart"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07" w:type="dxa"/>
            <w:vMerge w:val="restart"/>
          </w:tcPr>
          <w:p w:rsidR="0014178C" w:rsidRPr="00EC0156" w:rsidRDefault="0014178C" w:rsidP="00AB3E8D">
            <w:pPr>
              <w:spacing w:after="0" w:line="240" w:lineRule="auto"/>
              <w:ind w:left="34" w:right="88"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0156">
              <w:rPr>
                <w:rFonts w:ascii="PT Astra Serif" w:hAnsi="PT Astra Serif"/>
                <w:sz w:val="26"/>
                <w:szCs w:val="26"/>
              </w:rPr>
              <w:t>Доля проектов нормативных правовых актов</w:t>
            </w: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муниципального района/городского округа</w:t>
            </w:r>
            <w:r w:rsidRPr="00EC0156">
              <w:rPr>
                <w:rFonts w:ascii="PT Astra Serif" w:hAnsi="PT Astra Serif"/>
                <w:sz w:val="26"/>
                <w:szCs w:val="26"/>
              </w:rPr>
              <w:t>, в которых не выявлены нарушения антимонопольного законодательства по итогам «общественных обсуждений»</w:t>
            </w:r>
          </w:p>
        </w:tc>
        <w:tc>
          <w:tcPr>
            <w:tcW w:w="1233" w:type="dxa"/>
            <w:tcBorders>
              <w:bottom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0" w:type="dxa"/>
            <w:tcBorders>
              <w:bottom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300" w:type="dxa"/>
            <w:tcBorders>
              <w:bottom w:val="single" w:sz="4" w:space="0" w:color="D9D9D9"/>
            </w:tcBorders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14178C" w:rsidRPr="00EC0156" w:rsidTr="000C47A3">
        <w:trPr>
          <w:trHeight w:val="399"/>
        </w:trPr>
        <w:tc>
          <w:tcPr>
            <w:tcW w:w="642" w:type="dxa"/>
            <w:vMerge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07" w:type="dxa"/>
            <w:vMerge/>
          </w:tcPr>
          <w:p w:rsidR="0014178C" w:rsidRPr="00EC0156" w:rsidRDefault="0014178C" w:rsidP="00AB3E8D">
            <w:pPr>
              <w:spacing w:after="0" w:line="240" w:lineRule="auto"/>
              <w:ind w:left="34" w:right="88"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D9D9D9"/>
            </w:tcBorders>
          </w:tcPr>
          <w:p w:rsidR="0014178C" w:rsidRPr="00EC0156" w:rsidRDefault="00AB3E8D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</w:tr>
      <w:tr w:rsidR="0014178C" w:rsidRPr="00EC0156" w:rsidTr="000C47A3">
        <w:trPr>
          <w:trHeight w:val="433"/>
        </w:trPr>
        <w:tc>
          <w:tcPr>
            <w:tcW w:w="642" w:type="dxa"/>
            <w:vMerge w:val="restart"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07" w:type="dxa"/>
            <w:vMerge w:val="restart"/>
          </w:tcPr>
          <w:p w:rsidR="0014178C" w:rsidRPr="00EC0156" w:rsidRDefault="0014178C" w:rsidP="00AB3E8D">
            <w:pPr>
              <w:spacing w:after="0" w:line="240" w:lineRule="auto"/>
              <w:ind w:left="34" w:right="88"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0156">
              <w:rPr>
                <w:rFonts w:ascii="PT Astra Serif" w:hAnsi="PT Astra Serif"/>
                <w:sz w:val="26"/>
                <w:szCs w:val="26"/>
              </w:rPr>
              <w:t>Доля нормативных правовых актов</w:t>
            </w: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 муниципального района/городского округа</w:t>
            </w:r>
            <w:r w:rsidRPr="00EC0156">
              <w:rPr>
                <w:rFonts w:ascii="PT Astra Serif" w:hAnsi="PT Astra Serif"/>
                <w:sz w:val="26"/>
                <w:szCs w:val="26"/>
              </w:rPr>
              <w:t>, в которых не выявлены нарушения антимонопольного законодательства антимонопольным органом</w:t>
            </w:r>
          </w:p>
        </w:tc>
        <w:tc>
          <w:tcPr>
            <w:tcW w:w="1233" w:type="dxa"/>
            <w:tcBorders>
              <w:bottom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0" w:type="dxa"/>
            <w:tcBorders>
              <w:bottom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300" w:type="dxa"/>
            <w:tcBorders>
              <w:bottom w:val="single" w:sz="4" w:space="0" w:color="D9D9D9"/>
            </w:tcBorders>
          </w:tcPr>
          <w:p w:rsidR="0014178C" w:rsidRPr="00EC0156" w:rsidRDefault="00AB3E8D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</w:tr>
      <w:tr w:rsidR="0014178C" w:rsidRPr="00EC0156" w:rsidTr="000C47A3">
        <w:trPr>
          <w:trHeight w:val="399"/>
        </w:trPr>
        <w:tc>
          <w:tcPr>
            <w:tcW w:w="642" w:type="dxa"/>
            <w:vMerge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07" w:type="dxa"/>
            <w:vMerge/>
          </w:tcPr>
          <w:p w:rsidR="0014178C" w:rsidRPr="00EC0156" w:rsidRDefault="0014178C" w:rsidP="00AB3E8D">
            <w:pPr>
              <w:spacing w:after="0" w:line="240" w:lineRule="auto"/>
              <w:ind w:left="34" w:right="88"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D9D9D9"/>
            </w:tcBorders>
          </w:tcPr>
          <w:p w:rsidR="0014178C" w:rsidRPr="00EC0156" w:rsidRDefault="0014178C" w:rsidP="009A3389">
            <w:pPr>
              <w:spacing w:after="0" w:line="240" w:lineRule="auto"/>
              <w:ind w:left="34" w:right="8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14178C" w:rsidRPr="00EC0156" w:rsidTr="000C47A3">
        <w:trPr>
          <w:trHeight w:val="413"/>
        </w:trPr>
        <w:tc>
          <w:tcPr>
            <w:tcW w:w="642" w:type="dxa"/>
            <w:vMerge w:val="restart"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07" w:type="dxa"/>
            <w:vMerge w:val="restart"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1233" w:type="dxa"/>
            <w:tcBorders>
              <w:bottom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 w:firstLine="3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0" w:type="dxa"/>
            <w:tcBorders>
              <w:bottom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 w:firstLine="3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300" w:type="dxa"/>
            <w:tcBorders>
              <w:bottom w:val="single" w:sz="4" w:space="0" w:color="D9D9D9"/>
            </w:tcBorders>
          </w:tcPr>
          <w:p w:rsidR="0014178C" w:rsidRPr="00EC0156" w:rsidRDefault="00AB3E8D" w:rsidP="009A3389">
            <w:pPr>
              <w:spacing w:after="0" w:line="240" w:lineRule="auto"/>
              <w:ind w:left="34" w:right="88" w:firstLine="3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</w:tr>
      <w:tr w:rsidR="0014178C" w:rsidRPr="00EC0156" w:rsidTr="000C47A3">
        <w:trPr>
          <w:trHeight w:val="353"/>
        </w:trPr>
        <w:tc>
          <w:tcPr>
            <w:tcW w:w="642" w:type="dxa"/>
            <w:vMerge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07" w:type="dxa"/>
            <w:vMerge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 w:firstLine="3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 w:firstLine="3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D9D9D9"/>
            </w:tcBorders>
          </w:tcPr>
          <w:p w:rsidR="0014178C" w:rsidRPr="00EC0156" w:rsidRDefault="0014178C" w:rsidP="009A3389">
            <w:pPr>
              <w:spacing w:after="0" w:line="240" w:lineRule="auto"/>
              <w:ind w:left="34" w:right="88" w:firstLine="3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14178C" w:rsidRPr="00EC0156" w:rsidTr="000C47A3">
        <w:trPr>
          <w:trHeight w:val="557"/>
        </w:trPr>
        <w:tc>
          <w:tcPr>
            <w:tcW w:w="642" w:type="dxa"/>
            <w:vMerge w:val="restart"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5807" w:type="dxa"/>
            <w:vMerge w:val="restart"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0156">
              <w:rPr>
                <w:rFonts w:ascii="PT Astra Serif" w:hAnsi="PT Astra Serif"/>
                <w:sz w:val="26"/>
                <w:szCs w:val="26"/>
              </w:rPr>
              <w:t xml:space="preserve">Доля работников </w:t>
            </w: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муниципального района/городского округа, в отношении которых были проведены обучающие мероприятия по антимонопольному законодательству и антимонопольному комплаенсу</w:t>
            </w:r>
          </w:p>
        </w:tc>
        <w:tc>
          <w:tcPr>
            <w:tcW w:w="1233" w:type="dxa"/>
            <w:tcBorders>
              <w:bottom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 w:firstLine="3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≥50%</w:t>
            </w:r>
          </w:p>
        </w:tc>
        <w:tc>
          <w:tcPr>
            <w:tcW w:w="1440" w:type="dxa"/>
            <w:tcBorders>
              <w:bottom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 w:firstLine="3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300" w:type="dxa"/>
            <w:tcBorders>
              <w:bottom w:val="single" w:sz="4" w:space="0" w:color="D9D9D9"/>
            </w:tcBorders>
          </w:tcPr>
          <w:p w:rsidR="0014178C" w:rsidRPr="00EC0156" w:rsidRDefault="00AB3E8D" w:rsidP="009A3389">
            <w:pPr>
              <w:spacing w:after="0" w:line="240" w:lineRule="auto"/>
              <w:ind w:left="34" w:right="88" w:firstLine="3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20</w:t>
            </w:r>
          </w:p>
        </w:tc>
      </w:tr>
      <w:tr w:rsidR="0014178C" w:rsidRPr="00EC0156" w:rsidTr="000C47A3">
        <w:trPr>
          <w:trHeight w:val="565"/>
        </w:trPr>
        <w:tc>
          <w:tcPr>
            <w:tcW w:w="642" w:type="dxa"/>
            <w:vMerge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5807" w:type="dxa"/>
            <w:vMerge/>
          </w:tcPr>
          <w:p w:rsidR="0014178C" w:rsidRPr="00EC0156" w:rsidRDefault="0014178C" w:rsidP="00AB3E8D">
            <w:pPr>
              <w:spacing w:after="0" w:line="240" w:lineRule="auto"/>
              <w:ind w:firstLine="567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33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 w:firstLine="3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sym w:font="Symbol" w:char="F03C"/>
            </w: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50%</w:t>
            </w:r>
          </w:p>
        </w:tc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14178C" w:rsidRPr="00EC0156" w:rsidRDefault="0014178C" w:rsidP="009A3389">
            <w:pPr>
              <w:spacing w:after="0" w:line="240" w:lineRule="auto"/>
              <w:ind w:left="34" w:right="88" w:firstLine="3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EC0156">
              <w:rPr>
                <w:rFonts w:ascii="PT Astra Serif" w:hAnsi="PT Astra Serif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single" w:sz="4" w:space="0" w:color="D9D9D9"/>
              <w:bottom w:val="single" w:sz="4" w:space="0" w:color="auto"/>
            </w:tcBorders>
          </w:tcPr>
          <w:p w:rsidR="0014178C" w:rsidRPr="00EC0156" w:rsidRDefault="0014178C" w:rsidP="009A3389">
            <w:pPr>
              <w:spacing w:after="0" w:line="240" w:lineRule="auto"/>
              <w:ind w:left="34" w:right="88" w:firstLine="3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</w:tr>
      <w:tr w:rsidR="000C47A3" w:rsidRPr="00EC0156" w:rsidTr="000C47A3">
        <w:trPr>
          <w:trHeight w:val="565"/>
        </w:trPr>
        <w:tc>
          <w:tcPr>
            <w:tcW w:w="642" w:type="dxa"/>
          </w:tcPr>
          <w:p w:rsidR="000C47A3" w:rsidRPr="00EC0156" w:rsidRDefault="000C47A3" w:rsidP="00AB3E8D">
            <w:pPr>
              <w:spacing w:after="0" w:line="240" w:lineRule="auto"/>
              <w:ind w:firstLine="567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8480" w:type="dxa"/>
            <w:gridSpan w:val="3"/>
          </w:tcPr>
          <w:p w:rsidR="000C47A3" w:rsidRPr="00EC0156" w:rsidRDefault="000C47A3" w:rsidP="009A3389">
            <w:pPr>
              <w:spacing w:after="0" w:line="240" w:lineRule="auto"/>
              <w:ind w:left="34" w:right="88" w:firstLine="3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Итого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0C47A3" w:rsidRPr="00EC0156" w:rsidRDefault="000C47A3" w:rsidP="009A3389">
            <w:pPr>
              <w:spacing w:after="0" w:line="240" w:lineRule="auto"/>
              <w:ind w:left="34" w:right="88" w:firstLine="38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80</w:t>
            </w:r>
          </w:p>
        </w:tc>
      </w:tr>
    </w:tbl>
    <w:p w:rsidR="0014178C" w:rsidRPr="00F62F04" w:rsidRDefault="0014178C" w:rsidP="00AB3E8D">
      <w:pPr>
        <w:spacing w:after="0" w:line="240" w:lineRule="auto"/>
        <w:ind w:firstLine="567"/>
        <w:jc w:val="both"/>
        <w:rPr>
          <w:rFonts w:ascii="PT Astra Serif" w:hAnsi="PT Astra Serif"/>
          <w:sz w:val="10"/>
          <w:szCs w:val="10"/>
          <w:lang w:eastAsia="ru-RU"/>
        </w:rPr>
      </w:pPr>
    </w:p>
    <w:p w:rsidR="0014178C" w:rsidRPr="00F62F04" w:rsidRDefault="0014178C" w:rsidP="00AB3E8D">
      <w:pPr>
        <w:spacing w:after="0" w:line="240" w:lineRule="auto"/>
        <w:ind w:firstLine="567"/>
        <w:jc w:val="both"/>
        <w:rPr>
          <w:rFonts w:ascii="PT Astra Serif" w:hAnsi="PT Astra Serif"/>
          <w:sz w:val="10"/>
          <w:szCs w:val="10"/>
          <w:lang w:eastAsia="ru-RU"/>
        </w:rPr>
      </w:pPr>
    </w:p>
    <w:p w:rsidR="0014178C" w:rsidRPr="00F62F04" w:rsidRDefault="0014178C" w:rsidP="00AB3E8D">
      <w:pPr>
        <w:spacing w:after="0" w:line="240" w:lineRule="auto"/>
        <w:ind w:firstLine="567"/>
        <w:jc w:val="both"/>
        <w:rPr>
          <w:rFonts w:ascii="PT Astra Serif" w:hAnsi="PT Astra Serif"/>
          <w:sz w:val="10"/>
          <w:szCs w:val="10"/>
          <w:lang w:eastAsia="ru-RU"/>
        </w:rPr>
      </w:pPr>
    </w:p>
    <w:p w:rsidR="0014178C" w:rsidRPr="00F62F04" w:rsidRDefault="0014178C" w:rsidP="00AB3E8D">
      <w:pPr>
        <w:spacing w:after="0" w:line="240" w:lineRule="auto"/>
        <w:ind w:firstLine="567"/>
        <w:jc w:val="both"/>
        <w:rPr>
          <w:rFonts w:ascii="PT Astra Serif" w:hAnsi="PT Astra Serif"/>
          <w:sz w:val="26"/>
          <w:szCs w:val="20"/>
          <w:lang w:eastAsia="ru-RU"/>
        </w:rPr>
      </w:pPr>
    </w:p>
    <w:p w:rsidR="0014178C" w:rsidRPr="009A3389" w:rsidRDefault="0014178C" w:rsidP="00AB3E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>Расчет значения итогового показателя производится путем суммирования баллов:</w:t>
      </w:r>
    </w:p>
    <w:p w:rsidR="0014178C" w:rsidRPr="009A3389" w:rsidRDefault="0014178C" w:rsidP="00AB3E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>высокая эффективность – от 80 до 100 баллов;</w:t>
      </w:r>
    </w:p>
    <w:p w:rsidR="0014178C" w:rsidRPr="009A3389" w:rsidRDefault="0014178C" w:rsidP="00AB3E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>средняя эффективность – от 60 до 79 баллов;</w:t>
      </w:r>
    </w:p>
    <w:p w:rsidR="0014178C" w:rsidRPr="009A3389" w:rsidRDefault="0014178C" w:rsidP="00AB3E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>низкая эффективность – от 20 до 59 баллов;</w:t>
      </w:r>
    </w:p>
    <w:p w:rsidR="0014178C" w:rsidRPr="009A3389" w:rsidRDefault="0014178C" w:rsidP="00AB3E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9A3389">
        <w:rPr>
          <w:rFonts w:ascii="PT Astra Serif" w:hAnsi="PT Astra Serif"/>
          <w:sz w:val="26"/>
          <w:szCs w:val="26"/>
        </w:rPr>
        <w:t>неэффективно – ниже 19 баллов.</w:t>
      </w:r>
    </w:p>
    <w:p w:rsidR="0014178C" w:rsidRPr="009A3389" w:rsidRDefault="0014178C" w:rsidP="00AB3E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</w:p>
    <w:p w:rsidR="00AB3E8D" w:rsidRPr="00AB3E8D" w:rsidRDefault="00AB3E8D" w:rsidP="00AB3E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AB3E8D">
        <w:rPr>
          <w:rFonts w:ascii="PT Astra Serif" w:hAnsi="PT Astra Serif"/>
          <w:sz w:val="26"/>
          <w:szCs w:val="26"/>
        </w:rPr>
        <w:t>4. Выводы.</w:t>
      </w:r>
    </w:p>
    <w:p w:rsidR="00AB3E8D" w:rsidRPr="00AB3E8D" w:rsidRDefault="00AB3E8D" w:rsidP="00AB3E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AB3E8D">
        <w:rPr>
          <w:rFonts w:ascii="PT Astra Serif" w:hAnsi="PT Astra Serif"/>
          <w:sz w:val="26"/>
          <w:szCs w:val="26"/>
        </w:rPr>
        <w:t>По результатам проведенной оценки в ОМСУ МО «</w:t>
      </w:r>
      <w:r w:rsidRPr="009A3389">
        <w:rPr>
          <w:rFonts w:ascii="PT Astra Serif" w:hAnsi="PT Astra Serif"/>
          <w:sz w:val="26"/>
          <w:szCs w:val="26"/>
        </w:rPr>
        <w:t>Вавиловс</w:t>
      </w:r>
      <w:r w:rsidRPr="00AB3E8D">
        <w:rPr>
          <w:rFonts w:ascii="PT Astra Serif" w:hAnsi="PT Astra Serif"/>
          <w:sz w:val="26"/>
          <w:szCs w:val="26"/>
        </w:rPr>
        <w:t>кое сельское поселения» значение итогового показателя составило 80 баллов, что показывает высокую эффективность функционирования антимонопольного комплаенса.</w:t>
      </w:r>
    </w:p>
    <w:p w:rsidR="00AB3E8D" w:rsidRPr="00AB3E8D" w:rsidRDefault="00AB3E8D" w:rsidP="00AB3E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AB3E8D">
        <w:rPr>
          <w:rFonts w:ascii="PT Astra Serif" w:hAnsi="PT Astra Serif"/>
          <w:sz w:val="26"/>
          <w:szCs w:val="26"/>
        </w:rPr>
        <w:t xml:space="preserve">С целью поддержания и повышения эффективности функционирования антимонопольного комплаенса в Администрации </w:t>
      </w:r>
      <w:r w:rsidRPr="009A3389">
        <w:rPr>
          <w:rFonts w:ascii="PT Astra Serif" w:hAnsi="PT Astra Serif"/>
          <w:sz w:val="26"/>
          <w:szCs w:val="26"/>
        </w:rPr>
        <w:t>Вавиловс</w:t>
      </w:r>
      <w:r w:rsidRPr="00AB3E8D">
        <w:rPr>
          <w:rFonts w:ascii="PT Astra Serif" w:hAnsi="PT Astra Serif"/>
          <w:sz w:val="26"/>
          <w:szCs w:val="26"/>
        </w:rPr>
        <w:t>кого сельского поселения необходимо в 2024 году:</w:t>
      </w:r>
    </w:p>
    <w:p w:rsidR="00AB3E8D" w:rsidRPr="00AB3E8D" w:rsidRDefault="00AB3E8D" w:rsidP="00AB3E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AB3E8D">
        <w:rPr>
          <w:rFonts w:ascii="PT Astra Serif" w:hAnsi="PT Astra Serif"/>
          <w:sz w:val="26"/>
          <w:szCs w:val="26"/>
        </w:rPr>
        <w:t>1. Проводить анализ проектов нормативных правовых актов, разработанных МО «</w:t>
      </w:r>
      <w:r w:rsidRPr="009A3389">
        <w:rPr>
          <w:rFonts w:ascii="PT Astra Serif" w:hAnsi="PT Astra Serif"/>
          <w:sz w:val="26"/>
          <w:szCs w:val="26"/>
        </w:rPr>
        <w:t>Вавиловс</w:t>
      </w:r>
      <w:r w:rsidRPr="00AB3E8D">
        <w:rPr>
          <w:rFonts w:ascii="PT Astra Serif" w:hAnsi="PT Astra Serif"/>
          <w:sz w:val="26"/>
          <w:szCs w:val="26"/>
        </w:rPr>
        <w:t>кое сельское поселение» на предмет их соответствия АМЗ.</w:t>
      </w:r>
    </w:p>
    <w:p w:rsidR="00AB3E8D" w:rsidRPr="00AB3E8D" w:rsidRDefault="00AB3E8D" w:rsidP="00AB3E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AB3E8D">
        <w:rPr>
          <w:rFonts w:ascii="PT Astra Serif" w:hAnsi="PT Astra Serif"/>
          <w:sz w:val="26"/>
          <w:szCs w:val="26"/>
        </w:rPr>
        <w:t>2.Проводить инструктаж при приёме на работу.</w:t>
      </w:r>
    </w:p>
    <w:p w:rsidR="00AB3E8D" w:rsidRPr="00AB3E8D" w:rsidRDefault="00AB3E8D" w:rsidP="00AB3E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AB3E8D">
        <w:rPr>
          <w:rFonts w:ascii="PT Astra Serif" w:hAnsi="PT Astra Serif"/>
          <w:sz w:val="26"/>
          <w:szCs w:val="26"/>
        </w:rPr>
        <w:t>3. Проводить анализ действующих нормативных правовых актов и анализ проектов на предмет соответствия антимонопольному законодательству.</w:t>
      </w:r>
    </w:p>
    <w:p w:rsidR="00AB3E8D" w:rsidRPr="00AB3E8D" w:rsidRDefault="00AB3E8D" w:rsidP="00AB3E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AB3E8D">
        <w:rPr>
          <w:rFonts w:ascii="PT Astra Serif" w:hAnsi="PT Astra Serif"/>
          <w:sz w:val="26"/>
          <w:szCs w:val="26"/>
        </w:rPr>
        <w:t>4. Проводить систематическое повышение квалификации ответственных сотрудников.</w:t>
      </w:r>
    </w:p>
    <w:p w:rsidR="00AB3E8D" w:rsidRPr="00AB3E8D" w:rsidRDefault="00AB3E8D" w:rsidP="00AB3E8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  <w:sz w:val="26"/>
          <w:szCs w:val="26"/>
        </w:rPr>
      </w:pPr>
      <w:r w:rsidRPr="00AB3E8D">
        <w:rPr>
          <w:rFonts w:ascii="PT Astra Serif" w:hAnsi="PT Astra Serif"/>
          <w:sz w:val="26"/>
          <w:szCs w:val="26"/>
        </w:rPr>
        <w:t>5. Проведение мониторинга и анализа практики антимонопольного законодательст</w:t>
      </w:r>
      <w:r w:rsidRPr="009A3389">
        <w:rPr>
          <w:rFonts w:ascii="PT Astra Serif" w:hAnsi="PT Astra Serif"/>
          <w:sz w:val="26"/>
          <w:szCs w:val="26"/>
        </w:rPr>
        <w:t>ва.</w:t>
      </w:r>
    </w:p>
    <w:p w:rsidR="0014178C" w:rsidRPr="00F62F04" w:rsidRDefault="0014178C" w:rsidP="0059119A">
      <w:pPr>
        <w:spacing w:after="0"/>
        <w:rPr>
          <w:rFonts w:ascii="PT Astra Serif" w:hAnsi="PT Astra Serif"/>
          <w:i/>
          <w:vanish/>
          <w:sz w:val="28"/>
          <w:szCs w:val="28"/>
        </w:rPr>
      </w:pPr>
    </w:p>
    <w:sectPr w:rsidR="0014178C" w:rsidRPr="00F62F04" w:rsidSect="00430BC7">
      <w:pgSz w:w="11906" w:h="16838" w:code="9"/>
      <w:pgMar w:top="567" w:right="851" w:bottom="42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78C" w:rsidRDefault="0014178C" w:rsidP="007D3ACF">
      <w:pPr>
        <w:spacing w:after="0" w:line="240" w:lineRule="auto"/>
      </w:pPr>
      <w:r>
        <w:separator/>
      </w:r>
    </w:p>
  </w:endnote>
  <w:endnote w:type="continuationSeparator" w:id="0">
    <w:p w:rsidR="0014178C" w:rsidRDefault="0014178C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78C" w:rsidRDefault="0014178C" w:rsidP="007D3ACF">
      <w:pPr>
        <w:spacing w:after="0" w:line="240" w:lineRule="auto"/>
      </w:pPr>
      <w:r>
        <w:separator/>
      </w:r>
    </w:p>
  </w:footnote>
  <w:footnote w:type="continuationSeparator" w:id="0">
    <w:p w:rsidR="0014178C" w:rsidRDefault="0014178C" w:rsidP="007D3ACF">
      <w:pPr>
        <w:spacing w:after="0" w:line="240" w:lineRule="auto"/>
      </w:pPr>
      <w:r>
        <w:continuationSeparator/>
      </w:r>
    </w:p>
  </w:footnote>
  <w:footnote w:id="1">
    <w:p w:rsidR="0014178C" w:rsidRDefault="0014178C" w:rsidP="00F62F04">
      <w:pPr>
        <w:pStyle w:val="aa"/>
      </w:pPr>
      <w:r>
        <w:rPr>
          <w:rStyle w:val="a7"/>
        </w:rPr>
        <w:footnoteRef/>
      </w:r>
      <w:r>
        <w:t xml:space="preserve"> </w:t>
      </w:r>
      <w:r w:rsidRPr="00F62F04">
        <w:rPr>
          <w:rFonts w:ascii="PT Astra Serif" w:hAnsi="PT Astra Serif"/>
        </w:rPr>
        <w:t>В случае отсутствия нарушений антимонопольного законодательства в отчетном и предыдущем годах показатель равен 20 баллов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5103237"/>
    <w:multiLevelType w:val="multilevel"/>
    <w:tmpl w:val="CD98CC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BC7"/>
    <w:rsid w:val="00006546"/>
    <w:rsid w:val="0006560E"/>
    <w:rsid w:val="000C1907"/>
    <w:rsid w:val="000C47A3"/>
    <w:rsid w:val="000F1F1A"/>
    <w:rsid w:val="0014178C"/>
    <w:rsid w:val="001A712E"/>
    <w:rsid w:val="00232640"/>
    <w:rsid w:val="00264208"/>
    <w:rsid w:val="00296A6D"/>
    <w:rsid w:val="00386094"/>
    <w:rsid w:val="003B740A"/>
    <w:rsid w:val="003C5D56"/>
    <w:rsid w:val="003E217C"/>
    <w:rsid w:val="003E2BFE"/>
    <w:rsid w:val="003F5ED4"/>
    <w:rsid w:val="00430BC7"/>
    <w:rsid w:val="004A18ED"/>
    <w:rsid w:val="004D2967"/>
    <w:rsid w:val="004F0A0D"/>
    <w:rsid w:val="0053283E"/>
    <w:rsid w:val="00535D13"/>
    <w:rsid w:val="0059119A"/>
    <w:rsid w:val="00595B31"/>
    <w:rsid w:val="005C200C"/>
    <w:rsid w:val="005F29F9"/>
    <w:rsid w:val="006121F9"/>
    <w:rsid w:val="006144D6"/>
    <w:rsid w:val="00623CE9"/>
    <w:rsid w:val="00673D7C"/>
    <w:rsid w:val="006D0BE5"/>
    <w:rsid w:val="00711564"/>
    <w:rsid w:val="007312EB"/>
    <w:rsid w:val="00735BD9"/>
    <w:rsid w:val="00792589"/>
    <w:rsid w:val="00795CD6"/>
    <w:rsid w:val="007A6DE9"/>
    <w:rsid w:val="007D3ACF"/>
    <w:rsid w:val="007D6E4E"/>
    <w:rsid w:val="00813CD9"/>
    <w:rsid w:val="0081526B"/>
    <w:rsid w:val="008A59C5"/>
    <w:rsid w:val="008A64AA"/>
    <w:rsid w:val="008D06FB"/>
    <w:rsid w:val="008D33C8"/>
    <w:rsid w:val="009918CB"/>
    <w:rsid w:val="009A3389"/>
    <w:rsid w:val="009F4C30"/>
    <w:rsid w:val="009F727B"/>
    <w:rsid w:val="00A037EB"/>
    <w:rsid w:val="00A228AA"/>
    <w:rsid w:val="00A84ED5"/>
    <w:rsid w:val="00AB3E8D"/>
    <w:rsid w:val="00AD5BDC"/>
    <w:rsid w:val="00B33DB0"/>
    <w:rsid w:val="00B54193"/>
    <w:rsid w:val="00B5766D"/>
    <w:rsid w:val="00B63533"/>
    <w:rsid w:val="00B72A6A"/>
    <w:rsid w:val="00BA14DE"/>
    <w:rsid w:val="00C255C1"/>
    <w:rsid w:val="00C90CEB"/>
    <w:rsid w:val="00D10B94"/>
    <w:rsid w:val="00D6322F"/>
    <w:rsid w:val="00D769EB"/>
    <w:rsid w:val="00DB0501"/>
    <w:rsid w:val="00DB1EE4"/>
    <w:rsid w:val="00DE36C9"/>
    <w:rsid w:val="00E30561"/>
    <w:rsid w:val="00E56C08"/>
    <w:rsid w:val="00E6123B"/>
    <w:rsid w:val="00E82891"/>
    <w:rsid w:val="00EA0D7B"/>
    <w:rsid w:val="00EC0156"/>
    <w:rsid w:val="00EC37C0"/>
    <w:rsid w:val="00F0015E"/>
    <w:rsid w:val="00F11747"/>
    <w:rsid w:val="00F32D1E"/>
    <w:rsid w:val="00F62F04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FE187AE"/>
  <w15:docId w15:val="{BEAFC978-83B1-4A8C-BEE2-54541435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430BC7"/>
    <w:rPr>
      <w:rFonts w:cs="Times New Roman"/>
      <w:b/>
      <w:bCs/>
    </w:rPr>
  </w:style>
  <w:style w:type="table" w:styleId="a5">
    <w:name w:val="Table Grid"/>
    <w:basedOn w:val="a1"/>
    <w:uiPriority w:val="99"/>
    <w:rsid w:val="007D3AC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uiPriority w:val="99"/>
    <w:locked/>
    <w:rsid w:val="007D3ACF"/>
    <w:rPr>
      <w:rFonts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7D3ACF"/>
    <w:pPr>
      <w:shd w:val="clear" w:color="auto" w:fill="FFFFFF"/>
      <w:spacing w:after="0" w:line="24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rsid w:val="007D3ACF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D3ACF"/>
    <w:pPr>
      <w:widowControl w:val="0"/>
      <w:autoSpaceDE w:val="0"/>
      <w:autoSpaceDN w:val="0"/>
    </w:pPr>
    <w:rPr>
      <w:rFonts w:ascii="Times New Roman" w:eastAsia="Times New Roman" w:hAnsi="Times New Roman"/>
      <w:b/>
      <w:sz w:val="26"/>
      <w:szCs w:val="20"/>
    </w:rPr>
  </w:style>
  <w:style w:type="paragraph" w:styleId="a8">
    <w:name w:val="Balloon Text"/>
    <w:basedOn w:val="a"/>
    <w:link w:val="a9"/>
    <w:uiPriority w:val="99"/>
    <w:semiHidden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F0A0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A037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A037EB"/>
    <w:rPr>
      <w:rFonts w:cs="Times New Roman"/>
      <w:sz w:val="20"/>
      <w:szCs w:val="20"/>
    </w:rPr>
  </w:style>
  <w:style w:type="paragraph" w:styleId="ac">
    <w:name w:val="header"/>
    <w:basedOn w:val="a"/>
    <w:link w:val="ad"/>
    <w:uiPriority w:val="99"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0015E"/>
    <w:rPr>
      <w:rFonts w:cs="Times New Roman"/>
    </w:rPr>
  </w:style>
  <w:style w:type="paragraph" w:styleId="ae">
    <w:name w:val="footer"/>
    <w:basedOn w:val="a"/>
    <w:link w:val="af"/>
    <w:uiPriority w:val="99"/>
    <w:rsid w:val="00F0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F0015E"/>
    <w:rPr>
      <w:rFonts w:cs="Times New Roman"/>
    </w:rPr>
  </w:style>
  <w:style w:type="table" w:customStyle="1" w:styleId="2">
    <w:name w:val="Сетка таблицы2"/>
    <w:uiPriority w:val="99"/>
    <w:rsid w:val="00F62F0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rsid w:val="00F62F0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F62F04"/>
    <w:rPr>
      <w:rFonts w:cs="Times New Roman"/>
      <w:sz w:val="20"/>
      <w:szCs w:val="20"/>
    </w:rPr>
  </w:style>
  <w:style w:type="character" w:styleId="af2">
    <w:name w:val="endnote reference"/>
    <w:basedOn w:val="a0"/>
    <w:uiPriority w:val="99"/>
    <w:semiHidden/>
    <w:rsid w:val="00F62F0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570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Власова</dc:creator>
  <cp:keywords/>
  <dc:description/>
  <cp:lastModifiedBy>VavilSP</cp:lastModifiedBy>
  <cp:revision>8</cp:revision>
  <cp:lastPrinted>2023-01-23T09:46:00Z</cp:lastPrinted>
  <dcterms:created xsi:type="dcterms:W3CDTF">2024-02-07T03:07:00Z</dcterms:created>
  <dcterms:modified xsi:type="dcterms:W3CDTF">2024-02-26T13:30:00Z</dcterms:modified>
</cp:coreProperties>
</file>